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B69AE">
      <w:pPr>
        <w:widowControl/>
        <w:spacing w:line="288" w:lineRule="auto"/>
        <w:ind w:firstLine="0" w:firstLineChars="0"/>
        <w:jc w:val="left"/>
        <w:rPr>
          <w:rFonts w:ascii="Times New Roman" w:hAnsi="Times New Roman" w:eastAsia="小标宋" w:cs="Times New Roman"/>
          <w:color w:val="000000"/>
          <w:sz w:val="44"/>
          <w:szCs w:val="44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 w14:paraId="46BDF8B6">
      <w:pPr>
        <w:widowControl w:val="0"/>
        <w:suppressAutoHyphens/>
        <w:spacing w:before="0" w:beforeAutospacing="0" w:after="0" w:afterAutospacing="0" w:line="288" w:lineRule="auto"/>
        <w:jc w:val="center"/>
        <w:outlineLvl w:val="0"/>
        <w:rPr>
          <w:rFonts w:ascii="Times New Roman" w:hAnsi="Times New Roman" w:eastAsia="黑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中国化学会第二届“无处不化学”主题科普征文格式要求</w:t>
      </w:r>
    </w:p>
    <w:p w14:paraId="17F3DBEE">
      <w:pPr>
        <w:widowControl w:val="0"/>
        <w:suppressAutoHyphens/>
        <w:spacing w:before="0" w:beforeAutospacing="0" w:after="0" w:afterAutospacing="0" w:line="288" w:lineRule="auto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征文题目（3号黑体，居中）</w:t>
      </w:r>
    </w:p>
    <w:p w14:paraId="5BDA8DD3">
      <w:pPr>
        <w:widowControl w:val="0"/>
        <w:suppressAutoHyphens/>
        <w:spacing w:line="288" w:lineRule="auto"/>
        <w:jc w:val="center"/>
        <w:outlineLvl w:val="0"/>
        <w:rPr>
          <w:rFonts w:ascii="Times New Roman" w:hAnsi="Times New Roman" w:eastAsia="宋体" w:cs="Times New Roman"/>
          <w:bCs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2"/>
          <w:lang w:val="en-US" w:eastAsia="zh-CN" w:bidi="ar-SA"/>
        </w:rPr>
        <w:t>（应明确简洁地反映科普文章的主题，总字数一般不超过30字。）</w:t>
      </w:r>
    </w:p>
    <w:p w14:paraId="1D7D838E">
      <w:pPr>
        <w:widowControl w:val="0"/>
        <w:suppressAutoHyphens/>
        <w:spacing w:line="288" w:lineRule="auto"/>
        <w:jc w:val="center"/>
        <w:outlineLvl w:val="0"/>
        <w:rPr>
          <w:rFonts w:ascii="Times New Roman" w:hAnsi="Times New Roman" w:eastAsia="宋体" w:cs="Times New Roman"/>
          <w:bCs/>
          <w:kern w:val="2"/>
          <w:sz w:val="21"/>
          <w:szCs w:val="22"/>
          <w:lang w:val="en-US" w:eastAsia="zh-CN" w:bidi="ar-SA"/>
        </w:rPr>
      </w:pPr>
    </w:p>
    <w:p w14:paraId="7801CCB9">
      <w:pPr>
        <w:tabs>
          <w:tab w:val="left" w:pos="0"/>
        </w:tabs>
        <w:spacing w:line="288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引言部分：应阐明你投稿科普文章的背景资料（宋体5号字）。</w:t>
      </w:r>
    </w:p>
    <w:p w14:paraId="553D710C">
      <w:pPr>
        <w:tabs>
          <w:tab w:val="left" w:pos="0"/>
        </w:tabs>
        <w:spacing w:line="288" w:lineRule="auto"/>
        <w:ind w:firstLine="0" w:firstLineChars="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1"/>
        </w:rPr>
        <w:t>正文部分：主体需要分成几个部分阐述，每部分需要一个小节标题（标题简单明确，宋体5号字）。涉及配图的，相应图片需要保证清晰，并给出来源（来源于具体网站，网址或者给出参考文献。）涉及</w:t>
      </w:r>
      <w:r>
        <w:rPr>
          <w:rFonts w:ascii="Times New Roman" w:hAnsi="Times New Roman" w:eastAsia="宋体" w:cs="Times New Roman"/>
          <w:sz w:val="21"/>
          <w:szCs w:val="22"/>
        </w:rPr>
        <w:t>物理量、计量单位及其符号的，物理量的符号用斜体字母,单位符号用正体字母，计量单位按《中华人民共和国国家计量标准》及有关GB标准规定书写。</w:t>
      </w:r>
    </w:p>
    <w:p w14:paraId="59365A0C">
      <w:pPr>
        <w:spacing w:line="288" w:lineRule="auto"/>
        <w:ind w:firstLine="0" w:firstLineChars="0"/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b/>
          <w:bCs/>
          <w:color w:val="000000"/>
          <w:sz w:val="21"/>
          <w:szCs w:val="21"/>
        </w:rPr>
        <w:t>参考文献部分：采用黑体，5号</w:t>
      </w:r>
      <w:r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参考文献以引用先后顺序编号(注于正文相应处),文献作者应全部写出。作者需对文献的作者、发表的刊物、年代、卷期页等核实无误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切忌转引二手文献。内部资料、涉密资料、私人通讯不得引用。已录用待发表的文章需引用时，必须注明刊物名称和待发标识。日文、俄文等非英文文献用英文表述，中文文献采用中文表述即可。文献刊名缩写须准确。文献著录项目应齐全，格式准确。按顺序写出前三位作者的姓名（姓前名后，大写，名字部分用缩写，其余中文用等，英文用et al）. 题目（题目首字母大写，保留题目中大写和斜体的部分）[文献类型].刊名缩写,年代,卷(期): 起-止页码。期刊、专著和译著引用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严格参照GB7714－2015(信息与文献_参考文献著录规则)，示例如下：</w:t>
      </w:r>
    </w:p>
    <w:p w14:paraId="6CB380AD">
      <w:pPr>
        <w:tabs>
          <w:tab w:val="left" w:pos="0"/>
        </w:tabs>
        <w:spacing w:line="288" w:lineRule="auto"/>
        <w:ind w:firstLine="0" w:firstLineChars="0"/>
        <w:rPr>
          <w:rFonts w:ascii="Times New Roman" w:hAnsi="Times New Roman" w:eastAsia="黑体" w:cs="Times New Roman"/>
          <w:b/>
          <w:bCs/>
          <w:color w:val="000000"/>
          <w:sz w:val="21"/>
          <w:szCs w:val="21"/>
        </w:rPr>
      </w:pPr>
    </w:p>
    <w:p w14:paraId="5DA43957">
      <w:pPr>
        <w:tabs>
          <w:tab w:val="left" w:pos="0"/>
        </w:tabs>
        <w:spacing w:line="288" w:lineRule="auto"/>
        <w:ind w:firstLine="0" w:firstLineChars="0"/>
        <w:rPr>
          <w:rFonts w:ascii="Times New Roman" w:hAnsi="Times New Roman" w:eastAsia="黑体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b/>
          <w:bCs/>
          <w:color w:val="000000"/>
          <w:sz w:val="21"/>
          <w:szCs w:val="21"/>
        </w:rPr>
        <w:t>参考文献：</w:t>
      </w:r>
    </w:p>
    <w:p w14:paraId="007E60B3">
      <w:pPr>
        <w:numPr>
          <w:ilvl w:val="0"/>
          <w:numId w:val="1"/>
        </w:numPr>
        <w:snapToGrid w:val="0"/>
        <w:spacing w:line="288" w:lineRule="auto"/>
        <w:ind w:left="420" w:leftChars="0" w:hanging="420" w:hanging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方向晨, 关明华, 廖士刚. 加氢精制[M]. 北京: 中国石化出版社, 2006: 427-436.</w:t>
      </w:r>
    </w:p>
    <w:p w14:paraId="0F33012D">
      <w:pPr>
        <w:widowControl w:val="0"/>
        <w:numPr>
          <w:ilvl w:val="0"/>
          <w:numId w:val="1"/>
        </w:numPr>
        <w:tabs>
          <w:tab w:val="left" w:pos="448"/>
        </w:tabs>
        <w:snapToGrid w:val="0"/>
        <w:spacing w:line="288" w:lineRule="auto"/>
        <w:ind w:left="418" w:leftChars="0" w:hanging="418" w:hangingChars="204"/>
        <w:jc w:val="both"/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</w:pPr>
      <w:r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  <w:t>牛春吉. 稀土在动植物中的分布[M]//倪嘉缵. 稀土生物无机化学. 第二版. 北京:科学出版社, 2002:8-26.</w:t>
      </w:r>
    </w:p>
    <w:p w14:paraId="19A639FA">
      <w:pPr>
        <w:widowControl w:val="0"/>
        <w:numPr>
          <w:ilvl w:val="0"/>
          <w:numId w:val="1"/>
        </w:numPr>
        <w:tabs>
          <w:tab w:val="left" w:pos="448"/>
        </w:tabs>
        <w:snapToGrid w:val="0"/>
        <w:spacing w:line="288" w:lineRule="auto"/>
        <w:ind w:left="418" w:leftChars="0" w:hanging="418" w:hangingChars="204"/>
        <w:jc w:val="both"/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</w:pPr>
      <w:r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  <w:t>巴德 A J，福克纳 L R. 电化学方法原理和应用[M]. 邵元华, 朱国逸, 董献堆, 等译. 第二版. 北京: 化学工业出版社, 2005:267-290.</w:t>
      </w:r>
    </w:p>
    <w:p w14:paraId="6388593D">
      <w:pPr>
        <w:numPr>
          <w:ilvl w:val="0"/>
          <w:numId w:val="1"/>
        </w:numPr>
        <w:spacing w:line="288" w:lineRule="auto"/>
        <w:ind w:left="420" w:leftChars="0" w:hanging="420" w:hanging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刘瑞霞. 环境友好介质中柠檬醛选择性加氢反应[D]. 长春: 中国科学院长春应用化学研究所, 2010.</w:t>
      </w:r>
    </w:p>
    <w:p w14:paraId="19F68590">
      <w:pPr>
        <w:widowControl w:val="0"/>
        <w:numPr>
          <w:ilvl w:val="0"/>
          <w:numId w:val="1"/>
        </w:numPr>
        <w:tabs>
          <w:tab w:val="left" w:pos="448"/>
        </w:tabs>
        <w:snapToGrid w:val="0"/>
        <w:spacing w:line="288" w:lineRule="auto"/>
        <w:ind w:left="418" w:leftChars="0" w:hanging="418" w:hangingChars="204"/>
        <w:jc w:val="both"/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</w:pPr>
      <w:r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  <w:t xml:space="preserve">王海涛, 张恒彬, 曹学静, </w:t>
      </w:r>
      <w:bookmarkStart w:id="0" w:name="_GoBack"/>
      <w:bookmarkEnd w:id="0"/>
      <w:r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  <w:t>等. 溴离子氧化电流效率的研究：第八届全国有机电化学与工业学术会议论文集[C]. 芜湖: 安徽师范大学, 2002: 36-38.</w:t>
      </w:r>
    </w:p>
    <w:p w14:paraId="0982CD81">
      <w:pPr>
        <w:numPr>
          <w:ilvl w:val="0"/>
          <w:numId w:val="1"/>
        </w:numPr>
        <w:snapToGrid w:val="0"/>
        <w:spacing w:line="288" w:lineRule="auto"/>
        <w:ind w:left="420" w:leftChars="0" w:hanging="420" w:hanging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朱连超, 唐功本, 殷敬华. 稀土化合物参与的功能化聚烯烃树脂的制备方法: 中国, 200510016847.X[P]. 2010-01-27.</w:t>
      </w:r>
    </w:p>
    <w:p w14:paraId="5C9057BD">
      <w:pPr>
        <w:widowControl w:val="0"/>
        <w:numPr>
          <w:ilvl w:val="0"/>
          <w:numId w:val="0"/>
        </w:numPr>
        <w:tabs>
          <w:tab w:val="left" w:pos="448"/>
        </w:tabs>
        <w:snapToGrid w:val="0"/>
        <w:spacing w:line="288" w:lineRule="auto"/>
        <w:ind w:leftChars="0"/>
        <w:jc w:val="both"/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</w:pPr>
      <w:r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  <w:t>程海波, 陈学思, 肖海华, 等. 多臂聚乳酸对线型聚乳酸结晶的促进作用[J]. 应用化学, 2010,</w:t>
      </w:r>
      <w:r>
        <w:rPr>
          <w:rFonts w:ascii="Times New Roman" w:hAnsi="Times New Roman" w:eastAsia="黑体" w:cs="Times New Roman"/>
          <w:bCs/>
          <w:w w:val="98"/>
          <w:kern w:val="2"/>
          <w:sz w:val="21"/>
          <w:szCs w:val="21"/>
          <w:lang w:val="de-DE" w:eastAsia="zh-CN" w:bidi="ar-SA"/>
        </w:rPr>
        <w:t xml:space="preserve"> 27</w:t>
      </w:r>
      <w:r>
        <w:rPr>
          <w:rFonts w:ascii="Times New Roman" w:hAnsi="Times New Roman" w:eastAsia="黑体" w:cs="Times New Roman"/>
          <w:w w:val="98"/>
          <w:kern w:val="2"/>
          <w:sz w:val="21"/>
          <w:szCs w:val="21"/>
          <w:lang w:val="de-DE" w:eastAsia="zh-CN" w:bidi="ar-SA"/>
        </w:rPr>
        <w:t>(7):754-758.</w:t>
      </w:r>
    </w:p>
    <w:p w14:paraId="17F87D56">
      <w:pPr>
        <w:numPr>
          <w:ilvl w:val="0"/>
          <w:numId w:val="1"/>
        </w:numPr>
        <w:snapToGrid w:val="0"/>
        <w:spacing w:line="288" w:lineRule="auto"/>
        <w:ind w:left="420" w:hanging="420" w:firstLineChars="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Barrera M C, Viniegra M，Escobar J. Highly active MoS</w:t>
      </w:r>
      <w:r>
        <w:rPr>
          <w:rFonts w:ascii="Times New Roman" w:hAnsi="Times New Roman" w:eastAsia="黑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黑体" w:cs="Times New Roman"/>
          <w:sz w:val="21"/>
          <w:szCs w:val="21"/>
        </w:rPr>
        <w:t xml:space="preserve"> on wide-pore ZrO</w:t>
      </w:r>
      <w:r>
        <w:rPr>
          <w:rFonts w:ascii="Times New Roman" w:hAnsi="Times New Roman" w:eastAsia="黑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黑体" w:cs="Times New Roman"/>
          <w:sz w:val="21"/>
          <w:szCs w:val="21"/>
        </w:rPr>
        <w:t>-TiO</w:t>
      </w:r>
      <w:r>
        <w:rPr>
          <w:rFonts w:ascii="Times New Roman" w:hAnsi="Times New Roman" w:eastAsia="黑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黑体" w:cs="Times New Roman"/>
          <w:sz w:val="21"/>
          <w:szCs w:val="21"/>
        </w:rPr>
        <w:t xml:space="preserve"> mixed oxides[J]. </w:t>
      </w:r>
      <w:r>
        <w:rPr>
          <w:rFonts w:ascii="Times New Roman" w:hAnsi="Times New Roman" w:eastAsia="黑体" w:cs="Times New Roman"/>
          <w:iCs/>
          <w:sz w:val="21"/>
          <w:szCs w:val="21"/>
        </w:rPr>
        <w:t xml:space="preserve">Catal Today, </w:t>
      </w:r>
      <w:r>
        <w:rPr>
          <w:rFonts w:ascii="Times New Roman" w:hAnsi="Times New Roman" w:eastAsia="黑体" w:cs="Times New Roman"/>
          <w:sz w:val="21"/>
          <w:szCs w:val="21"/>
        </w:rPr>
        <w:t xml:space="preserve">2004, </w:t>
      </w:r>
      <w:r>
        <w:rPr>
          <w:rFonts w:ascii="Times New Roman" w:hAnsi="Times New Roman" w:eastAsia="黑体" w:cs="Times New Roman"/>
          <w:bCs/>
          <w:sz w:val="21"/>
          <w:szCs w:val="21"/>
        </w:rPr>
        <w:t>98</w:t>
      </w:r>
      <w:r>
        <w:rPr>
          <w:rFonts w:ascii="Times New Roman" w:hAnsi="Times New Roman" w:eastAsia="黑体" w:cs="Times New Roman"/>
          <w:sz w:val="21"/>
          <w:szCs w:val="21"/>
        </w:rPr>
        <w:t>(1/2):131-139.</w:t>
      </w:r>
    </w:p>
    <w:p w14:paraId="7A184D48">
      <w:pPr>
        <w:numPr>
          <w:ilvl w:val="0"/>
          <w:numId w:val="1"/>
        </w:numPr>
        <w:snapToGrid w:val="0"/>
        <w:spacing w:line="288" w:lineRule="auto"/>
        <w:ind w:left="420" w:hanging="420" w:firstLineChars="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 xml:space="preserve">Sasaki K, Naohara H, cai Y, et al. </w:t>
      </w:r>
      <w:r>
        <w:rPr>
          <w:rFonts w:ascii="等线" w:hAnsi="等线" w:eastAsia="等线" w:cs="Times New Roman"/>
          <w:sz w:val="21"/>
          <w:szCs w:val="22"/>
        </w:rPr>
        <w:fldChar w:fldCharType="begin"/>
      </w:r>
      <w:r>
        <w:rPr>
          <w:rFonts w:ascii="等线" w:hAnsi="等线" w:eastAsia="等线" w:cs="Times New Roman"/>
          <w:sz w:val="21"/>
          <w:szCs w:val="22"/>
        </w:rPr>
        <w:instrText xml:space="preserve"> HYPERLINK "http://onlinelibrary.wiley.com/doi/10.1002/anie.201004287/abstract" </w:instrText>
      </w:r>
      <w:r>
        <w:rPr>
          <w:rFonts w:ascii="等线" w:hAnsi="等线" w:eastAsia="等线" w:cs="Times New Roman"/>
          <w:sz w:val="21"/>
          <w:szCs w:val="22"/>
        </w:rPr>
        <w:fldChar w:fldCharType="separate"/>
      </w:r>
      <w:r>
        <w:rPr>
          <w:rFonts w:ascii="Times New Roman" w:hAnsi="Times New Roman" w:eastAsia="黑体" w:cs="Times New Roman"/>
          <w:sz w:val="21"/>
          <w:szCs w:val="21"/>
        </w:rPr>
        <w:t>Core-protected platinum monolayer shell high-stability electrocatalysts for fuel-cell cathodes</w:t>
      </w:r>
      <w:r>
        <w:rPr>
          <w:rFonts w:ascii="Times New Roman" w:hAnsi="Times New Roman" w:eastAsia="黑体" w:cs="Times New Roman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sz w:val="21"/>
          <w:szCs w:val="21"/>
        </w:rPr>
        <w:t>[J/OL].</w:t>
      </w:r>
      <w:r>
        <w:rPr>
          <w:rFonts w:ascii="Times New Roman" w:hAnsi="Times New Roman" w:eastAsia="黑体" w:cs="Times New Roman"/>
          <w:iCs/>
          <w:sz w:val="21"/>
          <w:szCs w:val="21"/>
        </w:rPr>
        <w:t xml:space="preserve"> Angew Chem Int Ed</w:t>
      </w:r>
      <w:r>
        <w:rPr>
          <w:rFonts w:ascii="Times New Roman" w:hAnsi="Times New Roman" w:eastAsia="黑体" w:cs="Times New Roman"/>
          <w:sz w:val="21"/>
          <w:szCs w:val="21"/>
        </w:rPr>
        <w:t>, 2010-10-07 [2010-10-20]. http://onlinelibrary.wiley.com/doi/10.1002/anie.201004287/pdf. [published online ahead of print].</w:t>
      </w:r>
    </w:p>
    <w:p w14:paraId="5391A404">
      <w:pPr>
        <w:numPr>
          <w:ilvl w:val="0"/>
          <w:numId w:val="1"/>
        </w:numPr>
        <w:snapToGrid w:val="0"/>
        <w:spacing w:line="288" w:lineRule="auto"/>
        <w:ind w:left="420" w:leftChars="0" w:hanging="420" w:firstLineChars="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……</w:t>
      </w:r>
    </w:p>
    <w:p w14:paraId="1A62C0ED">
      <w:pPr>
        <w:spacing w:line="288" w:lineRule="auto"/>
        <w:ind w:firstLine="485" w:firstLineChars="230"/>
        <w:rPr>
          <w:rFonts w:ascii="Times New Roman" w:hAnsi="Times New Roman" w:eastAsia="黑体" w:cs="Times New Roman"/>
          <w:b/>
          <w:sz w:val="21"/>
          <w:szCs w:val="21"/>
        </w:rPr>
      </w:pPr>
      <w:r>
        <w:rPr>
          <w:rFonts w:ascii="Times New Roman" w:hAnsi="Times New Roman" w:eastAsia="黑体" w:cs="Times New Roman"/>
          <w:b/>
          <w:sz w:val="21"/>
          <w:szCs w:val="21"/>
        </w:rPr>
        <w:t>报告R，数据库DB，计算机程序CP，电子公告EB，档案A，舆图CM，DS数据集，其他Z</w:t>
      </w:r>
    </w:p>
    <w:p w14:paraId="019B50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21CBC"/>
    <w:multiLevelType w:val="multilevel"/>
    <w:tmpl w:val="1E821CBC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2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2025-09-02T03:18:36Z</dcterms:created>
  <dc:creator>lichang</dc:creator>
  <cp:lastModifiedBy>CCS李昶</cp:lastModifiedBy>
  <dcterms:modified xsi:type="dcterms:W3CDTF">2025-09-02T03:19:15Z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eyJoZGlkIjoiYzhkMjQ2NmM3NDNmZjMwODE0OTZkZmJiOWJjOGI1NmQiLCJ1c2VySWQiOiIxNTY5Njg1NjEyIn0=</vt:lpwstr>
  </property>
  <property fmtid="{D5CDD505-2E9C-101B-9397-08002B2CF9AE}" pid="4" name="ICV">
    <vt:lpwstr>CC037D7762C04146B2D8FA7E2507560D_12</vt:lpwstr>
  </property>
</Properties>
</file>